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1833E951" w:rsidR="00E87D08" w:rsidRDefault="00EC7216" w:rsidP="006139F9">
            <w:pPr>
              <w:contextualSpacing/>
              <w:rPr>
                <w:b/>
                <w:bCs/>
              </w:rPr>
            </w:pPr>
            <w:r>
              <w:rPr>
                <w:b/>
                <w:bCs/>
              </w:rPr>
              <w:t>CULART 043</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4440A2C9" w:rsidR="00E87D08" w:rsidRDefault="00EC7216" w:rsidP="006139F9">
            <w:pPr>
              <w:contextualSpacing/>
              <w:rPr>
                <w:b/>
                <w:bCs/>
              </w:rPr>
            </w:pPr>
            <w:r>
              <w:rPr>
                <w:b/>
                <w:bCs/>
              </w:rPr>
              <w:t xml:space="preserve">Culinary arts </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5F585025" w:rsidR="00E87D08" w:rsidRDefault="00EC7216" w:rsidP="006139F9">
            <w:pPr>
              <w:contextualSpacing/>
              <w:rPr>
                <w:b/>
                <w:bCs/>
              </w:rPr>
            </w:pPr>
            <w:r>
              <w:rPr>
                <w:b/>
                <w:bCs/>
              </w:rPr>
              <w:t>Stacy Meyer</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4EDC1A7A" w:rsidR="00E87D08" w:rsidRDefault="00EC7216" w:rsidP="006139F9">
            <w:pPr>
              <w:contextualSpacing/>
              <w:rPr>
                <w:b/>
                <w:bCs/>
              </w:rPr>
            </w:pPr>
            <w:r>
              <w:rPr>
                <w:b/>
                <w:bCs/>
              </w:rPr>
              <w:t>01/14/2022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063ADE"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C9B9DD5" w:rsidR="007A272A" w:rsidRPr="007A272A" w:rsidRDefault="00063ADE" w:rsidP="007A272A">
      <w:pPr>
        <w:pStyle w:val="ListParagraph"/>
        <w:ind w:left="1440"/>
        <w:jc w:val="both"/>
        <w:rPr>
          <w:sz w:val="16"/>
          <w:szCs w:val="16"/>
        </w:rPr>
      </w:pPr>
      <w:sdt>
        <w:sdtPr>
          <w:id w:val="2025051836"/>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5F8289D6" w:rsidR="007A272A" w:rsidRPr="002C5063" w:rsidRDefault="00063ADE"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771DBF">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063ADE"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425E44B9" w:rsidR="007A272A" w:rsidRDefault="00DA0C7F" w:rsidP="007A272A">
            <w:pPr>
              <w:jc w:val="both"/>
              <w:rPr>
                <w:b/>
                <w:bCs/>
              </w:rPr>
            </w:pPr>
            <w:r>
              <w:rPr>
                <w:b/>
                <w:bCs/>
              </w:rPr>
              <w:t xml:space="preserve">This course will be offered by teaching the lecture online and the lab in-person.  This course meets the needs of the campus with student equity, campus mission statement and by offering quality education and job training. </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bookmarkStart w:id="0" w:name="_Hlk49859062"/>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708A555F" w:rsidR="00CF3469" w:rsidRDefault="00063ADE"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DA0C7F">
            <w:rPr>
              <w:rFonts w:ascii="MS Gothic" w:eastAsia="MS Gothic" w:hAnsi="MS Gothic" w:hint="eastAsia"/>
            </w:rPr>
            <w:t>☒</w:t>
          </w:r>
        </w:sdtContent>
      </w:sdt>
      <w:r w:rsidR="00CF3469">
        <w:t xml:space="preserve"> Captioned Videos</w:t>
      </w:r>
    </w:p>
    <w:p w14:paraId="0DDF3714" w14:textId="655E9DBA" w:rsidR="00CF3469" w:rsidRDefault="00063ADE"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DA0C7F">
            <w:rPr>
              <w:rFonts w:ascii="MS Gothic" w:eastAsia="MS Gothic" w:hAnsi="MS Gothic" w:hint="eastAsia"/>
            </w:rPr>
            <w:t>☒</w:t>
          </w:r>
        </w:sdtContent>
      </w:sdt>
      <w:r w:rsidR="00CF3469">
        <w:t xml:space="preserve"> Transcripts for Audio Files</w:t>
      </w:r>
    </w:p>
    <w:p w14:paraId="086D44E2" w14:textId="1D83AEC9" w:rsidR="00CF3469" w:rsidRDefault="00063ADE"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DA0C7F">
            <w:rPr>
              <w:rFonts w:ascii="MS Gothic" w:eastAsia="MS Gothic" w:hAnsi="MS Gothic" w:hint="eastAsia"/>
            </w:rPr>
            <w:t>☒</w:t>
          </w:r>
        </w:sdtContent>
      </w:sdt>
      <w:r w:rsidR="00CF3469">
        <w:t xml:space="preserve"> Alternative Text for Graphics</w:t>
      </w:r>
    </w:p>
    <w:p w14:paraId="1E230306" w14:textId="0E4018F2" w:rsidR="00CF3469" w:rsidRDefault="00063ADE"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DA0C7F">
            <w:rPr>
              <w:rFonts w:ascii="MS Gothic" w:eastAsia="MS Gothic" w:hAnsi="MS Gothic" w:hint="eastAsia"/>
            </w:rPr>
            <w:t>☒</w:t>
          </w:r>
        </w:sdtContent>
      </w:sdt>
      <w:r w:rsidR="00CF3469">
        <w:t xml:space="preserve"> Formatted Headings</w:t>
      </w:r>
    </w:p>
    <w:p w14:paraId="632FBC66" w14:textId="7948853D" w:rsidR="00CF3469" w:rsidRDefault="00063ADE"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66026F91" w:rsidR="009550DC" w:rsidRDefault="00DA0C7F" w:rsidP="006139F9">
            <w:pPr>
              <w:pStyle w:val="ListParagraph"/>
              <w:ind w:left="0"/>
              <w:jc w:val="both"/>
              <w:rPr>
                <w:rFonts w:cstheme="minorHAnsi"/>
                <w:b/>
                <w:bCs/>
              </w:rPr>
            </w:pPr>
            <w:r>
              <w:rPr>
                <w:rFonts w:cstheme="minorHAnsi"/>
                <w:b/>
                <w:bCs/>
              </w:rPr>
              <w:t>Synchronous office hours will take place during instructor specified hours and via zoom.  The students can email the instructor and request a meeting or speak to the instructor in-person during, before or after lab to set up a meeting.</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3EC6B211" w:rsidR="009D3D08" w:rsidRDefault="00DA0C7F" w:rsidP="006139F9">
            <w:pPr>
              <w:pStyle w:val="ListParagraph"/>
              <w:ind w:left="0"/>
              <w:jc w:val="both"/>
            </w:pPr>
            <w:r>
              <w:t>Instructor -student contact will take place in the lab portion of class and in threaded discussion forums, feedback on homework</w:t>
            </w:r>
            <w:r w:rsidR="000F3E4E">
              <w:t xml:space="preserve">, projects </w:t>
            </w:r>
            <w:r>
              <w:t>and exams, with instructor prepared materials</w:t>
            </w:r>
            <w:r w:rsidR="000F3E4E">
              <w:t xml:space="preserve">, and guided practice within the lab setting as well as synchronous or in-person meeting at the student or instructors request. </w:t>
            </w:r>
          </w:p>
        </w:tc>
      </w:tr>
    </w:tbl>
    <w:p w14:paraId="56CD16C8" w14:textId="4851EFE3" w:rsidR="003E134C" w:rsidRDefault="00063ADE"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66BF5AB5" w:rsidR="00367D02" w:rsidRDefault="000F3E4E" w:rsidP="006139F9">
            <w:pPr>
              <w:pStyle w:val="ListParagraph"/>
              <w:ind w:left="0"/>
              <w:jc w:val="both"/>
              <w:rPr>
                <w:b/>
                <w:bCs/>
              </w:rPr>
            </w:pPr>
            <w:r>
              <w:rPr>
                <w:b/>
                <w:bCs/>
              </w:rPr>
              <w:t>Student to student contact will take place in the in-person lab class, threaded discussions, and while working in groups on assigned projects.</w:t>
            </w:r>
          </w:p>
        </w:tc>
      </w:tr>
    </w:tbl>
    <w:p w14:paraId="28296E85" w14:textId="77777777" w:rsidR="007A272A" w:rsidRDefault="00063ADE"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E42635">
        <w:tc>
          <w:tcPr>
            <w:tcW w:w="10790" w:type="dxa"/>
          </w:tcPr>
          <w:p w14:paraId="41DA9E07" w14:textId="32D1DF55" w:rsidR="00C62B3B" w:rsidRDefault="00E42635" w:rsidP="006139F9">
            <w:pPr>
              <w:pStyle w:val="ListParagraph"/>
              <w:ind w:left="0"/>
              <w:jc w:val="both"/>
              <w:rPr>
                <w:b/>
                <w:bCs/>
              </w:rPr>
            </w:pPr>
            <w:r>
              <w:rPr>
                <w:b/>
                <w:bCs/>
              </w:rPr>
              <w:t>In a typical week the students will login to canvas, read the weekly announcements from the instructor, complete the homework assignment, and participate in the weekly discussion. The student will also report to the in-person lab in order to learn hands-on skills sets.</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A5CBC" w14:paraId="7680EE97" w14:textId="77777777" w:rsidTr="007656E1">
        <w:tc>
          <w:tcPr>
            <w:tcW w:w="10790" w:type="dxa"/>
          </w:tcPr>
          <w:p w14:paraId="51564AD0" w14:textId="2DC11BDD" w:rsidR="007A5CBC" w:rsidRDefault="007656E1" w:rsidP="007A5CBC">
            <w:pPr>
              <w:pStyle w:val="ListParagraph"/>
              <w:ind w:left="0"/>
              <w:jc w:val="both"/>
              <w:rPr>
                <w:rFonts w:cstheme="minorHAnsi"/>
                <w:b/>
                <w:bCs/>
              </w:rPr>
            </w:pPr>
            <w:r>
              <w:rPr>
                <w:rFonts w:cstheme="minorHAnsi"/>
                <w:b/>
                <w:bCs/>
              </w:rPr>
              <w:t>This course includes an online component and a in-person component.  A working computer with internet access is required to complete the online component of this course. Please email the instructor with any questions you may have regarding this course.</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0321A8">
        <w:tc>
          <w:tcPr>
            <w:tcW w:w="10790" w:type="dxa"/>
          </w:tcPr>
          <w:p w14:paraId="51132A7B" w14:textId="5D41111D" w:rsidR="007A272A" w:rsidRDefault="000321A8" w:rsidP="007A272A">
            <w:pPr>
              <w:pStyle w:val="ListParagraph"/>
              <w:ind w:left="0"/>
            </w:pPr>
            <w:r>
              <w:t>All students will have access to the canvas page. All materials added to the canvas page will contain formatted headings, captioned videos, transcripts from lectures and student meetings and for graphics, alternate text.  The communication method will be via zoom in asynchronous lectures. All announcements will go out to all students.</w:t>
            </w:r>
          </w:p>
        </w:tc>
      </w:tr>
    </w:tbl>
    <w:p w14:paraId="4855AC88" w14:textId="77777777" w:rsidR="007A272A" w:rsidRPr="007A272A" w:rsidRDefault="007A272A" w:rsidP="007A272A">
      <w:pPr>
        <w:pStyle w:val="ListParagraph"/>
        <w:ind w:left="360"/>
      </w:pPr>
    </w:p>
    <w:p w14:paraId="41EC1BC4" w14:textId="175DCC80"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0321A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0AEEFD11" w:rsidR="007B47C8" w:rsidRDefault="000321A8" w:rsidP="007B47C8">
            <w:pPr>
              <w:pStyle w:val="ListParagraph"/>
              <w:ind w:left="0"/>
              <w:jc w:val="both"/>
              <w:rPr>
                <w:rFonts w:cstheme="minorHAnsi"/>
                <w:b/>
                <w:bCs/>
              </w:rPr>
            </w:pPr>
            <w:r>
              <w:rPr>
                <w:rFonts w:cstheme="minorHAnsi"/>
                <w:b/>
                <w:bCs/>
              </w:rPr>
              <w:t>The plan is not to make the lab online. If it ever had to be put online however the Sunroom kitchen is set up with cameras and zoom so instructors can create videos to send out to the students. The students would then have to create their own video of them completing the assignment and send it back to the instructor for a grade.</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724265B0" w14:textId="1048C27F" w:rsidR="00351AA5" w:rsidRDefault="000321A8" w:rsidP="00351AA5">
            <w:pPr>
              <w:pStyle w:val="ListParagraph"/>
              <w:ind w:left="0"/>
              <w:jc w:val="both"/>
              <w:rPr>
                <w:rFonts w:cstheme="minorHAnsi"/>
                <w:b/>
                <w:bCs/>
              </w:rPr>
            </w:pPr>
            <w:r>
              <w:rPr>
                <w:rFonts w:cstheme="minorHAnsi"/>
                <w:b/>
                <w:bCs/>
              </w:rPr>
              <w:t>Slos and course objectives would remain the same.</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6D3CF1DF" w:rsidR="002C5063" w:rsidRPr="007A272A" w:rsidRDefault="00063ADE"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0321A8">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063ADE"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063ADE"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063ADE"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B891" w14:textId="77777777" w:rsidR="00063ADE" w:rsidRDefault="00063ADE" w:rsidP="001E310D">
      <w:pPr>
        <w:spacing w:after="0" w:line="240" w:lineRule="auto"/>
      </w:pPr>
      <w:r>
        <w:separator/>
      </w:r>
    </w:p>
  </w:endnote>
  <w:endnote w:type="continuationSeparator" w:id="0">
    <w:p w14:paraId="0FC587CF" w14:textId="77777777" w:rsidR="00063ADE" w:rsidRDefault="00063ADE"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B0CE" w14:textId="77777777" w:rsidR="00063ADE" w:rsidRDefault="00063ADE" w:rsidP="001E310D">
      <w:pPr>
        <w:spacing w:after="0" w:line="240" w:lineRule="auto"/>
      </w:pPr>
      <w:r>
        <w:separator/>
      </w:r>
    </w:p>
  </w:footnote>
  <w:footnote w:type="continuationSeparator" w:id="0">
    <w:p w14:paraId="4996120C" w14:textId="77777777" w:rsidR="00063ADE" w:rsidRDefault="00063ADE"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21A8"/>
    <w:rsid w:val="00034F20"/>
    <w:rsid w:val="000419D4"/>
    <w:rsid w:val="00045FCD"/>
    <w:rsid w:val="00052DB4"/>
    <w:rsid w:val="00063ADE"/>
    <w:rsid w:val="000C3820"/>
    <w:rsid w:val="000F3E4E"/>
    <w:rsid w:val="00101D51"/>
    <w:rsid w:val="0017015F"/>
    <w:rsid w:val="001A2228"/>
    <w:rsid w:val="001B1CA2"/>
    <w:rsid w:val="001D3B44"/>
    <w:rsid w:val="001E310D"/>
    <w:rsid w:val="00220095"/>
    <w:rsid w:val="00234E16"/>
    <w:rsid w:val="00286F73"/>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32762"/>
    <w:rsid w:val="00463E66"/>
    <w:rsid w:val="004744AB"/>
    <w:rsid w:val="0047543F"/>
    <w:rsid w:val="0049092F"/>
    <w:rsid w:val="0049567F"/>
    <w:rsid w:val="00496FDC"/>
    <w:rsid w:val="004B4A36"/>
    <w:rsid w:val="004F145D"/>
    <w:rsid w:val="00566BAB"/>
    <w:rsid w:val="00570E4B"/>
    <w:rsid w:val="00577B28"/>
    <w:rsid w:val="005B3DAB"/>
    <w:rsid w:val="005E3E6C"/>
    <w:rsid w:val="005E5A69"/>
    <w:rsid w:val="006139F9"/>
    <w:rsid w:val="0062136E"/>
    <w:rsid w:val="006262A9"/>
    <w:rsid w:val="0063025D"/>
    <w:rsid w:val="00642EEC"/>
    <w:rsid w:val="006572F0"/>
    <w:rsid w:val="006B578B"/>
    <w:rsid w:val="007471FF"/>
    <w:rsid w:val="00760581"/>
    <w:rsid w:val="007656E1"/>
    <w:rsid w:val="00771DBF"/>
    <w:rsid w:val="00785DB7"/>
    <w:rsid w:val="007A272A"/>
    <w:rsid w:val="007A5CBC"/>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521B7"/>
    <w:rsid w:val="00A57E16"/>
    <w:rsid w:val="00A71E83"/>
    <w:rsid w:val="00AA4BCE"/>
    <w:rsid w:val="00AA58A1"/>
    <w:rsid w:val="00B1715F"/>
    <w:rsid w:val="00B26C8E"/>
    <w:rsid w:val="00B7206C"/>
    <w:rsid w:val="00B730EE"/>
    <w:rsid w:val="00B75314"/>
    <w:rsid w:val="00BB164E"/>
    <w:rsid w:val="00BB593D"/>
    <w:rsid w:val="00BC58E3"/>
    <w:rsid w:val="00BF6CA6"/>
    <w:rsid w:val="00C12CDD"/>
    <w:rsid w:val="00C36C11"/>
    <w:rsid w:val="00C530A4"/>
    <w:rsid w:val="00C618CB"/>
    <w:rsid w:val="00C62B3B"/>
    <w:rsid w:val="00C8607B"/>
    <w:rsid w:val="00CB6806"/>
    <w:rsid w:val="00CE2A2E"/>
    <w:rsid w:val="00CF3469"/>
    <w:rsid w:val="00D30E21"/>
    <w:rsid w:val="00D50D31"/>
    <w:rsid w:val="00D57F38"/>
    <w:rsid w:val="00D9422A"/>
    <w:rsid w:val="00DA0C7F"/>
    <w:rsid w:val="00DC1565"/>
    <w:rsid w:val="00DC2D0A"/>
    <w:rsid w:val="00DE3EE8"/>
    <w:rsid w:val="00E13CF0"/>
    <w:rsid w:val="00E22B9A"/>
    <w:rsid w:val="00E42635"/>
    <w:rsid w:val="00E47D06"/>
    <w:rsid w:val="00E5537A"/>
    <w:rsid w:val="00E64CA1"/>
    <w:rsid w:val="00E84A40"/>
    <w:rsid w:val="00E87D08"/>
    <w:rsid w:val="00EA1219"/>
    <w:rsid w:val="00EA5DAF"/>
    <w:rsid w:val="00EB3BEC"/>
    <w:rsid w:val="00EC3485"/>
    <w:rsid w:val="00EC7216"/>
    <w:rsid w:val="00EC7565"/>
    <w:rsid w:val="00F14404"/>
    <w:rsid w:val="00FA1A00"/>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Stacy Meyer</cp:lastModifiedBy>
  <cp:revision>7</cp:revision>
  <dcterms:created xsi:type="dcterms:W3CDTF">2022-01-15T02:29:00Z</dcterms:created>
  <dcterms:modified xsi:type="dcterms:W3CDTF">2022-01-15T06:02:00Z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